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 xml:space="preserve">Šport in humanistika – izbrana poglavja iz filozofije športa</w:t>
      </w:r>
      <w:r>
        <w:br/>
      </w:r>
      <w:r>
        <w:br/>
      </w:r>
      <w:r>
        <w:t xml:space="preserve">Učni načrt predmeta/Course syllabus</w:t>
      </w:r>
    </w:p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Predmet: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Šport in humanistika – izbrana poglavja iz filozofije športa</w:t>
            </w:r>
          </w:p>
        </w:tc>
      </w:tr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Course title: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Sport and Humanities – Selected Chapters from Philosophy of Sport</w:t>
            </w:r>
          </w:p>
        </w:tc>
      </w:tr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Članica nosilka/UL Member: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UL FF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  <w:gridCol/>
        <w:gridCol/>
      </w:tblGrid>
      <w:tr>
        <w:tc>
          <w:tcPr>
            <w:tcW w:w="2000" w:type="pct"/>
            <w:rStyle w:val="DefaultTable"/>
          </w:tcPr>
          <w:p>
            <w:r>
              <w:rPr>
                <w:rStyle w:val="DefaultTable"/>
              </w:rPr>
              <w:t xml:space="preserve">Študijski programi in stopnja</w:t>
            </w:r>
          </w:p>
        </w:tc>
        <w:tc>
          <w:tcPr>
            <w:tcW w:w="1500" w:type="pct"/>
            <w:rStyle w:val="DefaultTable"/>
          </w:tcPr>
          <w:p>
            <w:r>
              <w:rPr>
                <w:rStyle w:val="DefaultTable"/>
              </w:rPr>
              <w:t xml:space="preserve">Študijska smer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Letnik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Semestri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Izbirnost</w:t>
            </w:r>
          </w:p>
        </w:tc>
      </w:tr>
      <w:tr>
        <w:tc>
          <w:tcPr>
            <w:tcW w:w="2000" w:type="pct"/>
            <w:rStyle w:val="DefaultTable"/>
          </w:tcPr>
          <w:p>
            <w:r>
              <w:rPr>
                <w:rStyle w:val="DefaultTable"/>
              </w:rPr>
              <w:t xml:space="preserve">Zgodovina, prva stopnja, univerzitetni</w:t>
            </w:r>
            <w:r>
              <w:br/>
            </w:r>
            <w:r>
              <w:rPr>
                <w:rStyle w:val="DefaultTable"/>
              </w:rPr>
              <w:t xml:space="preserve">(od študijskega leta 2022/2023 dalje)</w:t>
            </w:r>
          </w:p>
        </w:tc>
        <w:tc>
          <w:tcPr>
            <w:tcW w:w="1500" w:type="pct"/>
            <w:rStyle w:val="DefaultTable"/>
          </w:tcPr>
          <w:p>
            <w:r>
              <w:rPr>
                <w:rStyle w:val="DefaultTable"/>
              </w:rPr>
              <w:t xml:space="preserve">Zgodovina – dvopredmetna smer (smer)                </w:t>
            </w:r>
          </w:p>
        </w:tc>
        <w:tc>
          <w:tcPr>
            <w:tcW w:w="750" w:type="pct"/>
            <w:rStyle w:val="DefaultTable"/>
          </w:tcPr>
          <w:p/>
        </w:tc>
        <w:tc>
          <w:tcPr>
            <w:tcW w:w="750" w:type="pct"/>
            <w:rStyle w:val="DefaultTable"/>
          </w:tcPr>
          <w:p>
            <w:r>
              <w:rPr>
                <w:rStyle w:val="DefaultTable"/>
              </w:rPr>
              <w:t xml:space="preserve">Celoletni</w:t>
            </w:r>
          </w:p>
        </w:tc>
        <w:tc>
          <w:tcPr>
            <w:tcW w:w="750" w:type="pct"/>
            <w:rStyle w:val="DefaultTable"/>
          </w:tcPr>
          <w:p>
            <w:r>
              <w:rPr>
                <w:rStyle w:val="DefaultTable"/>
              </w:rPr>
              <w:t xml:space="preserve">izbirni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2750" w:type="pct"/>
            <w:rStyle w:val="VerticalTable"/>
          </w:tcPr>
          <w:p>
            <w:r>
              <w:rPr>
                <w:rStyle w:val="VerticalTable"/>
              </w:rPr>
              <w:t xml:space="preserve">Univerzitetna koda predmeta/University course code:</w:t>
            </w:r>
          </w:p>
        </w:tc>
        <w:tc>
          <w:tcPr>
            <w:tcW w:w="2250" w:type="pct"/>
            <w:rStyle w:val="VerticalTable"/>
          </w:tcPr>
          <w:p>
            <w:r>
              <w:rPr>
                <w:rStyle w:val="VerticalTable"/>
              </w:rPr>
              <w:t xml:space="preserve">0641555</w:t>
            </w:r>
          </w:p>
        </w:tc>
      </w:tr>
      <w:tr>
        <w:tc>
          <w:tcPr>
            <w:tcW w:w="2750" w:type="pct"/>
            <w:rStyle w:val="VerticalTable"/>
          </w:tcPr>
          <w:p>
            <w:r>
              <w:rPr>
                <w:rStyle w:val="VerticalTable"/>
              </w:rPr>
              <w:t xml:space="preserve">Koda učne enote na članici/UL Member course code:</w:t>
            </w:r>
          </w:p>
        </w:tc>
        <w:tc>
          <w:tcPr>
            <w:tcW w:w="2250" w:type="pct"/>
            <w:rStyle w:val="VerticalTable"/>
          </w:tcPr>
          <w:p>
            <w:r>
              <w:rPr>
                <w:rStyle w:val="VerticalTable"/>
              </w:rPr>
              <w:t xml:space="preserve">7767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  <w:gridCol/>
        <w:gridCol/>
        <w:gridCol/>
        <w:gridCol/>
      </w:tblGrid>
      <w:tr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Predavanja</w:t>
            </w:r>
            <w:r>
              <w:br/>
            </w:r>
            <w:r>
              <w:rPr>
                <w:rStyle w:val="DefaultTable"/>
              </w:rPr>
              <w:t xml:space="preserve">/Lectures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Seminar</w:t>
            </w:r>
            <w:r>
              <w:br/>
            </w:r>
            <w:r>
              <w:rPr>
                <w:rStyle w:val="DefaultTable"/>
              </w:rPr>
              <w:t xml:space="preserve">/Seminar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Vaje</w:t>
            </w:r>
            <w:r>
              <w:br/>
            </w:r>
            <w:r>
              <w:rPr>
                <w:rStyle w:val="DefaultTable"/>
              </w:rPr>
              <w:t xml:space="preserve">/Tutorials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Klinične vaje</w:t>
            </w:r>
            <w:r>
              <w:br/>
            </w:r>
            <w:r>
              <w:rPr>
                <w:rStyle w:val="DefaultTable"/>
              </w:rPr>
              <w:t xml:space="preserve">/Clinical tutorials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Druge oblike študija</w:t>
            </w:r>
            <w:r>
              <w:br/>
            </w:r>
            <w:r>
              <w:rPr>
                <w:rStyle w:val="DefaultTable"/>
              </w:rPr>
              <w:t xml:space="preserve">/Other forms of study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Samostojno delo</w:t>
            </w:r>
            <w:r>
              <w:br/>
            </w:r>
            <w:r>
              <w:rPr>
                <w:rStyle w:val="DefaultTable"/>
              </w:rPr>
              <w:t xml:space="preserve">/Individual student work</w:t>
            </w:r>
          </w:p>
        </w:tc>
        <w:tc>
          <w:tcPr>
            <w:tcW w:w="2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ECTS</w:t>
            </w:r>
          </w:p>
        </w:tc>
      </w:tr>
      <w:tr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10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60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80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Nosilec predmeta/Lecturer:</w:t>
            </w:r>
          </w:p>
        </w:tc>
        <w:tc>
          <w:tcPr>
            <w:tcW w:w="3400" w:type="pct"/>
            <w:rStyle w:val="VerticalTable"/>
          </w:tcPr>
          <w:p>
            <w:r>
              <w:rPr>
                <w:rStyle w:val="VerticalTable"/>
              </w:rPr>
              <w:t xml:space="preserve">Olga Markič            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Vrsta predmeta/Course type:</w:t>
            </w:r>
          </w:p>
        </w:tc>
        <w:tc>
          <w:tcPr>
            <w:tcW w:w="3400" w:type="pct"/>
            <w:rStyle w:val="VerticalTable"/>
          </w:tcPr>
          <w:p>
            <w:r>
              <w:rPr>
                <w:rStyle w:val="VerticalTable"/>
              </w:rPr>
              <w:t xml:space="preserve">Izbirni/Elective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Jeziki/Languages:</w:t>
            </w:r>
          </w:p>
        </w:tc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Predavanja/Lectures:</w:t>
            </w:r>
          </w:p>
        </w:tc>
        <w:tc>
          <w:tcPr>
            <w:tcW w:w="1800" w:type="pct"/>
            <w:rStyle w:val="VerticalTable"/>
          </w:tcPr>
          <w:p>
            <w:r>
              <w:rPr>
                <w:rStyle w:val="VerticalTable"/>
              </w:rPr>
              <w:t xml:space="preserve">Slovenščina                </w:t>
            </w:r>
          </w:p>
        </w:tc>
      </w:tr>
      <w:tr>
        <w:tc>
          <w:tcPr>
            <w:tcW w:w="1600" w:type="pct"/>
            <w:rStyle w:val="VerticalTable"/>
          </w:tcPr>
          <w:p/>
        </w:tc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Vaje/Tutorial:</w:t>
            </w:r>
          </w:p>
        </w:tc>
        <w:tc>
          <w:tcPr>
            <w:tcW w:w="1800" w:type="pct"/>
            <w:rStyle w:val="VerticalTable"/>
          </w:tcPr>
          <w:p>
            <w:r>
              <w:rPr>
                <w:rStyle w:val="VerticalTable"/>
              </w:rPr>
              <w:t xml:space="preserve">Slovenščina                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Pogoji za vključitev v delo oz. za opravljanje študijskih obveznosti: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Prerequisites: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Status rednega študenta/ študentke UL</w:t>
            </w:r>
            <w:r>
              <w:br/>
            </w:r>
            <w:r>
              <w:rPr>
                <w:rStyle w:val="DefaultTable"/>
              </w:rPr>
              <w:t xml:space="preserve">Pogoji za opravljanje izpita:</w:t>
            </w:r>
            <w:r>
              <w:br/>
            </w:r>
            <w:r>
              <w:rPr>
                <w:rStyle w:val="DefaultTable"/>
              </w:rPr>
              <w:t xml:space="preserve">- redna in aktivna udeležba na predavanjih in vajah</w:t>
            </w:r>
            <w:r>
              <w:br/>
            </w:r>
            <w:r>
              <w:rPr>
                <w:rStyle w:val="DefaultTable"/>
              </w:rPr>
              <w:t xml:space="preserve">- predelana predpisana literatura s področja teorije.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Status of a full-time student of UL</w:t>
            </w:r>
            <w:r>
              <w:br/>
            </w:r>
            <w:r>
              <w:rPr>
                <w:rStyle w:val="DefaultTable"/>
              </w:rPr>
              <w:t xml:space="preserve">Conditions for passing the exam:</w:t>
            </w:r>
            <w:r>
              <w:br/>
            </w:r>
            <w:r>
              <w:rPr>
                <w:rStyle w:val="DefaultTable"/>
              </w:rPr>
              <w:t xml:space="preserve">- regular and active participation at lectures and practical courses</w:t>
            </w:r>
            <w:r>
              <w:br/>
            </w:r>
            <w:r>
              <w:rPr>
                <w:rStyle w:val="DefaultTable"/>
              </w:rPr>
              <w:t xml:space="preserve">-studied subscribed literature in the area of theory.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Vsebina: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Content (Syllabus outline):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TEORETIČNE VSEBINE :</w:t>
            </w:r>
            <w:r>
              <w:br/>
            </w:r>
            <w:r>
              <w:rPr>
                <w:rStyle w:val="DefaultTable"/>
              </w:rPr>
              <w:t xml:space="preserve">- Izbrana poglavja iz filozofije športa</w:t>
            </w:r>
            <w:r>
              <w:br/>
            </w:r>
            <w:r>
              <w:rPr>
                <w:rStyle w:val="DefaultTable"/>
              </w:rPr>
              <w:t xml:space="preserve">- Teorija izbranega športa se podaja v sklopu praktičnih vsebin</w:t>
            </w:r>
          </w:p>
          <w:p>
            <w:r>
              <w:rPr>
                <w:rStyle w:val="DefaultTable"/>
              </w:rPr>
              <w:t xml:space="preserve">PRAKTIČNE VSEBINE: </w:t>
            </w:r>
            <w:r>
              <w:br/>
            </w:r>
            <w:r>
              <w:rPr>
                <w:rStyle w:val="DefaultTable"/>
              </w:rPr>
              <w:t xml:space="preserve">Študenti lahko izberejo enega od navedenih športov v obsegu 60 ur:</w:t>
            </w:r>
            <w:r>
              <w:br/>
            </w:r>
            <w:r>
              <w:rPr>
                <w:rStyle w:val="DefaultTable"/>
              </w:rPr>
              <w:t xml:space="preserve">- skupinske vadbe</w:t>
            </w:r>
            <w:r>
              <w:br/>
            </w:r>
            <w:r>
              <w:rPr>
                <w:rStyle w:val="DefaultTable"/>
              </w:rPr>
              <w:t xml:space="preserve">- planinstvo </w:t>
            </w:r>
            <w:r>
              <w:br/>
            </w:r>
            <w:r>
              <w:rPr>
                <w:rStyle w:val="DefaultTable"/>
              </w:rPr>
              <w:t xml:space="preserve">- športne aktivnosti v naravi</w:t>
            </w:r>
            <w:r>
              <w:br/>
            </w:r>
            <w:r>
              <w:rPr>
                <w:rStyle w:val="DefaultTable"/>
              </w:rPr>
              <w:t xml:space="preserve">- smučanje</w:t>
            </w:r>
            <w:r>
              <w:br/>
            </w:r>
            <w:r>
              <w:rPr>
                <w:rStyle w:val="DefaultTable"/>
              </w:rPr>
              <w:t xml:space="preserve">- vsi športni programi enote za šport FF v študijskem letu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THEORETICAL CONTENT: </w:t>
            </w:r>
            <w:r>
              <w:br/>
            </w:r>
            <w:r>
              <w:rPr>
                <w:rStyle w:val="DefaultTable"/>
              </w:rPr>
              <w:t xml:space="preserve">- selected chapters in philosophy of sports</w:t>
            </w:r>
            <w:r>
              <w:br/>
            </w:r>
            <w:r>
              <w:rPr>
                <w:rStyle w:val="DefaultTable"/>
              </w:rPr>
              <w:t xml:space="preserve">- theory of selected sports is passed within practical contents</w:t>
            </w:r>
          </w:p>
          <w:p>
            <w:r>
              <w:rPr>
                <w:rStyle w:val="DefaultTable"/>
              </w:rPr>
              <w:t xml:space="preserve">PRACTICAL CONTENTS: </w:t>
            </w:r>
            <w:r>
              <w:br/>
            </w:r>
            <w:r>
              <w:rPr>
                <w:rStyle w:val="DefaultTable"/>
              </w:rPr>
              <w:t xml:space="preserve">Students can choose one of the listed sports in the amount of 60 hours:</w:t>
            </w:r>
            <w:r>
              <w:br/>
            </w:r>
            <w:r>
              <w:rPr>
                <w:rStyle w:val="DefaultTable"/>
              </w:rPr>
              <w:t xml:space="preserve">- group fitness classes</w:t>
            </w:r>
            <w:r>
              <w:br/>
            </w:r>
            <w:r>
              <w:rPr>
                <w:rStyle w:val="DefaultTable"/>
              </w:rPr>
              <w:t xml:space="preserve">- hiking </w:t>
            </w:r>
            <w:r>
              <w:br/>
            </w:r>
            <w:r>
              <w:rPr>
                <w:rStyle w:val="DefaultTable"/>
              </w:rPr>
              <w:t xml:space="preserve">- outdoor sports activities</w:t>
            </w:r>
            <w:r>
              <w:br/>
            </w:r>
            <w:r>
              <w:rPr>
                <w:rStyle w:val="DefaultTable"/>
              </w:rPr>
              <w:t xml:space="preserve">- skiing</w:t>
            </w:r>
            <w:r>
              <w:br/>
            </w:r>
            <w:r>
              <w:rPr>
                <w:rStyle w:val="DefaultTable"/>
              </w:rPr>
              <w:t xml:space="preserve">- all sport programs of the sports unit of FA in the academic year</w:t>
            </w:r>
          </w:p>
        </w:tc>
      </w:tr>
    </w:tbl>
    <w:p/>
    <w:tbl>
      <w:tblPr>
        <w:tblStyle w:val="DefaultTable"/>
        <w:tblW w:w="5000" w:type="pct"/>
      </w:tblPr>
      <w:tblGrid>
        <w:gridCol/>
      </w:tblGrid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Temeljna literatura in viri/Readings: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•    "Šport in humanistika" (2012) v Ars &amp; Humanitas, L. 6 Št. 1,str. 7-127.</w:t>
            </w:r>
            <w:r>
              <w:br/>
            </w:r>
            <w:r>
              <w:rPr>
                <w:rStyle w:val="DefaultTable"/>
              </w:rPr>
              <w:t xml:space="preserve">•    Suits, B.H.(2020). Murn: Igre, Življenje in utopija. Ljubljana: Sophia.</w:t>
            </w:r>
            <w:r>
              <w:br/>
            </w:r>
            <w:r>
              <w:rPr>
                <w:rStyle w:val="DefaultTable"/>
              </w:rPr>
              <w:t xml:space="preserve">•    Pisk, J. (2019). Filozofski pogled v drobovje športa. Ljubljana, FŠ UL in Slovensko društvo za filozofijo športa.</w:t>
            </w:r>
          </w:p>
          <w:p>
            <w:r>
              <w:rPr>
                <w:rStyle w:val="DefaultTable"/>
              </w:rPr>
              <w:t xml:space="preserve">Priporočena literatura: Teorija in metodika iger z žogo avtorjev: Viktor Krevsel, Milutin Pavlovič, Brane Elsner, Brane Dežman.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Cilji in kompetence: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Objectives and competences: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Splošni cilji: </w:t>
            </w:r>
            <w:r>
              <w:br/>
            </w:r>
            <w:r>
              <w:rPr>
                <w:rStyle w:val="DefaultTable"/>
              </w:rPr>
              <w:t xml:space="preserve">- spoznati fenomen športa danes</w:t>
            </w:r>
            <w:r>
              <w:br/>
            </w:r>
            <w:r>
              <w:rPr>
                <w:rStyle w:val="DefaultTable"/>
              </w:rPr>
              <w:t xml:space="preserve">- spoznati etiko športa</w:t>
            </w:r>
            <w:r>
              <w:br/>
            </w:r>
            <w:r>
              <w:rPr>
                <w:rStyle w:val="DefaultTable"/>
              </w:rPr>
              <w:t xml:space="preserve">- spoznati splošno razumevanje filozofije športa danes</w:t>
            </w:r>
            <w:r>
              <w:br/>
            </w:r>
            <w:r>
              <w:rPr>
                <w:rStyle w:val="DefaultTable"/>
              </w:rPr>
              <w:t xml:space="preserve">- razumevanje praktičnih in teoretičnih vsebin izbrane športne zvrsti</w:t>
            </w:r>
            <w:r>
              <w:br/>
            </w:r>
            <w:r>
              <w:rPr>
                <w:rStyle w:val="DefaultTable"/>
              </w:rPr>
              <w:t xml:space="preserve">- razvijanje pozitivne samopodobe</w:t>
            </w:r>
            <w:r>
              <w:br/>
            </w:r>
            <w:r>
              <w:rPr>
                <w:rStyle w:val="DefaultTable"/>
              </w:rPr>
              <w:t xml:space="preserve">- čustevno in razumsko dojemanje športa in občutenje svojega telesa v gibanju ter soodvisnosti z naravo</w:t>
            </w:r>
            <w:r>
              <w:br/>
            </w:r>
            <w:r>
              <w:rPr>
                <w:rStyle w:val="DefaultTable"/>
              </w:rPr>
              <w:t xml:space="preserve">- navajanje na aktivno preživljanje prostega časa in zdrav način življenja.</w:t>
            </w:r>
          </w:p>
          <w:p>
            <w:r>
              <w:rPr>
                <w:rStyle w:val="DefaultTable"/>
              </w:rPr>
              <w:t xml:space="preserve">Specifične kompetence:</w:t>
            </w:r>
            <w:r>
              <w:br/>
            </w:r>
            <w:r>
              <w:rPr>
                <w:rStyle w:val="DefaultTable"/>
              </w:rPr>
              <w:t xml:space="preserve">- pridobitev osnovnih znanj iz izbrane športne zvrsti</w:t>
            </w:r>
            <w:r>
              <w:br/>
            </w:r>
            <w:r>
              <w:rPr>
                <w:rStyle w:val="DefaultTable"/>
              </w:rPr>
              <w:t xml:space="preserve">- sposobnost razumevanja telesne aktivnosti</w:t>
            </w:r>
            <w:r>
              <w:br/>
            </w:r>
            <w:r>
              <w:rPr>
                <w:rStyle w:val="DefaultTable"/>
              </w:rPr>
              <w:t xml:space="preserve">- usposobiti se za zdrav in aktivni življenski slog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General goals: </w:t>
            </w:r>
            <w:r>
              <w:br/>
            </w:r>
            <w:r>
              <w:rPr>
                <w:rStyle w:val="DefaultTable"/>
              </w:rPr>
              <w:t xml:space="preserve">- to gain knowledge about the sports phenomenon today</w:t>
            </w:r>
            <w:r>
              <w:br/>
            </w:r>
            <w:r>
              <w:rPr>
                <w:rStyle w:val="DefaultTable"/>
              </w:rPr>
              <w:t xml:space="preserve">- gain knowledge of sports ethics</w:t>
            </w:r>
            <w:r>
              <w:br/>
            </w:r>
            <w:r>
              <w:rPr>
                <w:rStyle w:val="DefaultTable"/>
              </w:rPr>
              <w:t xml:space="preserve">- gain a general understanding of the philosophy of sports today</w:t>
            </w:r>
            <w:r>
              <w:br/>
            </w:r>
            <w:r>
              <w:rPr>
                <w:rStyle w:val="DefaultTable"/>
              </w:rPr>
              <w:t xml:space="preserve">- understanding of practical and theoretical contents of the chosen sport</w:t>
            </w:r>
            <w:r>
              <w:br/>
            </w:r>
            <w:r>
              <w:rPr>
                <w:rStyle w:val="DefaultTable"/>
              </w:rPr>
              <w:t xml:space="preserve">- development of positive self-image</w:t>
            </w:r>
            <w:r>
              <w:br/>
            </w:r>
            <w:r>
              <w:rPr>
                <w:rStyle w:val="DefaultTable"/>
              </w:rPr>
              <w:t xml:space="preserve">- emotional and intellectual perception of sport and sensation of the body in motion and co-dependency with nature</w:t>
            </w:r>
            <w:r>
              <w:br/>
            </w:r>
            <w:r>
              <w:rPr>
                <w:rStyle w:val="DefaultTable"/>
              </w:rPr>
              <w:t xml:space="preserve">- getting used to spending free time actively and healthy lifestyle</w:t>
            </w:r>
          </w:p>
          <w:p>
            <w:r>
              <w:rPr>
                <w:rStyle w:val="DefaultTable"/>
              </w:rPr>
              <w:t xml:space="preserve">Specific competences:</w:t>
            </w:r>
            <w:r>
              <w:br/>
            </w:r>
            <w:r>
              <w:rPr>
                <w:rStyle w:val="DefaultTable"/>
              </w:rPr>
              <w:t xml:space="preserve">- acquisition of basic knowledge in the chosen sports</w:t>
            </w:r>
            <w:r>
              <w:br/>
            </w:r>
            <w:r>
              <w:rPr>
                <w:rStyle w:val="DefaultTable"/>
              </w:rPr>
              <w:t xml:space="preserve">- capability of understanding physical activity</w:t>
            </w:r>
            <w:r>
              <w:br/>
            </w:r>
            <w:r>
              <w:rPr>
                <w:rStyle w:val="DefaultTable"/>
              </w:rPr>
              <w:t xml:space="preserve">- to train for a healthy and active lifestyle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Predvideni študijski rezultati: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Intended learning outcomes: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Znanje in razumevanje:</w:t>
            </w:r>
            <w:r>
              <w:br/>
            </w:r>
            <w:r>
              <w:rPr>
                <w:rStyle w:val="DefaultTable"/>
              </w:rPr>
              <w:t xml:space="preserve">Osvajanje vsebin športa kot temeljev, ki omogočajo kvalitetnejše življenje. Razumevanje pomena lastne športne vadbe.</w:t>
            </w:r>
          </w:p>
          <w:p>
            <w:r>
              <w:rPr>
                <w:rStyle w:val="DefaultTable"/>
              </w:rPr>
              <w:t xml:space="preserve">Uporaba:</w:t>
            </w:r>
            <w:r>
              <w:br/>
            </w:r>
            <w:r>
              <w:rPr>
                <w:rStyle w:val="DefaultTable"/>
              </w:rPr>
              <w:t xml:space="preserve">Uporaba pridobljenih informacij za kompenzacijo intelektualnim in čustvenim obremenitvam  med študijem in kasneje v vsakodnevnem življenju</w:t>
            </w:r>
            <w:r>
              <w:br/>
            </w:r>
            <w:r>
              <w:rPr>
                <w:rStyle w:val="DefaultTable"/>
              </w:rPr>
              <w:t xml:space="preserve">Uporaba pridobljenih spretnosti pri opravljanju pedagoškega poklica (občutljivost za posameznika, občutenje drugačnosti, sprejetost različnosti, individualizacija).</w:t>
            </w:r>
          </w:p>
          <w:p>
            <w:r>
              <w:rPr>
                <w:rStyle w:val="DefaultTable"/>
              </w:rPr>
              <w:t xml:space="preserve">Refleksija:</w:t>
            </w:r>
            <w:r>
              <w:br/>
            </w:r>
            <w:r>
              <w:rPr>
                <w:rStyle w:val="DefaultTable"/>
              </w:rPr>
              <w:t xml:space="preserve">Poglobljeno občutenje in zavedanje lastnega bitja v soodvisnosti od narave in drugih ljudi in živih bitij.</w:t>
            </w:r>
          </w:p>
          <w:p>
            <w:r>
              <w:rPr>
                <w:rStyle w:val="DefaultTable"/>
              </w:rPr>
              <w:t xml:space="preserve">Prenosljive spretnosti – niso vezane le na en predmet:</w:t>
            </w:r>
            <w:r>
              <w:br/>
            </w:r>
            <w:r>
              <w:rPr>
                <w:rStyle w:val="DefaultTable"/>
              </w:rPr>
              <w:t xml:space="preserve">Upoštevanje pridobljenih informacij v vsakdanjem življenju. Prenos preko športa pridobljenih spretnosti na druga področja delovanja (občutljivost do varovanja narave, intuitivno zaznavanje).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Knowledge and understanding:</w:t>
            </w:r>
            <w:r>
              <w:br/>
            </w:r>
            <w:r>
              <w:rPr>
                <w:rStyle w:val="DefaultTable"/>
              </w:rPr>
              <w:t xml:space="preserve">Adoption of sport contents as the bases that enable a quality lifestyle. Understanding the meaning of physical exercise.</w:t>
            </w:r>
          </w:p>
          <w:p>
            <w:r>
              <w:rPr>
                <w:rStyle w:val="DefaultTable"/>
              </w:rPr>
              <w:t xml:space="preserve">Use: </w:t>
            </w:r>
            <w:r>
              <w:br/>
            </w:r>
            <w:r>
              <w:rPr>
                <w:rStyle w:val="DefaultTable"/>
              </w:rPr>
              <w:t xml:space="preserve">Use of acquired information to compensate intellectual and emotional stress during studies and later in everyday life.</w:t>
            </w:r>
            <w:r>
              <w:br/>
            </w:r>
            <w:r>
              <w:rPr>
                <w:rStyle w:val="DefaultTable"/>
              </w:rPr>
              <w:t xml:space="preserve">Use of acquired skills in performing the educational profession (sensitivity for an individual, sensing difference, acceptance of diversity, individualization).</w:t>
            </w:r>
          </w:p>
          <w:p>
            <w:r>
              <w:rPr>
                <w:rStyle w:val="DefaultTable"/>
              </w:rPr>
              <w:t xml:space="preserve">Reflection:</w:t>
            </w:r>
            <w:r>
              <w:br/>
            </w:r>
            <w:r>
              <w:rPr>
                <w:rStyle w:val="DefaultTable"/>
              </w:rPr>
              <w:t xml:space="preserve">In-depth sensation and awareness of existence in co-dependency with nature and other people and living beings.</w:t>
            </w:r>
          </w:p>
          <w:p>
            <w:r>
              <w:rPr>
                <w:rStyle w:val="DefaultTable"/>
              </w:rPr>
              <w:t xml:space="preserve">Transferrable skills – not bound only to one subject:</w:t>
            </w:r>
            <w:r>
              <w:br/>
            </w:r>
            <w:r>
              <w:rPr>
                <w:rStyle w:val="DefaultTable"/>
              </w:rPr>
              <w:t xml:space="preserve">Using acquired information in everyday life. Transfer of skills acquired through sports to other areas (sensitivity to environmental protection, intuitive recognition).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Metode poučevanja in učenja: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Learning and teaching methods: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Predavanja, vaje, tečaji, delo v skupinah.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Lectures, exercices, practical courses, work in groups.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</w:tblGrid>
      <w:tr>
        <w:tc>
          <w:tcPr>
            <w:tcW w:w="2200" w:type="pct"/>
            <w:rStyle w:val="DefaultTable"/>
          </w:tcPr>
          <w:p>
            <w:r>
              <w:rPr>
                <w:rStyle w:val="DefaultTable"/>
              </w:rPr>
              <w:t xml:space="preserve">Načini ocenjevanja:</w:t>
            </w:r>
          </w:p>
        </w:tc>
        <w:tc>
          <w:tcPr>
            <w:tcW w:w="6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Delež/Weight</w:t>
            </w:r>
          </w:p>
        </w:tc>
        <w:tc>
          <w:tcPr>
            <w:tcW w:w="2200" w:type="pct"/>
            <w:rStyle w:val="DefaultTable"/>
          </w:tcPr>
          <w:p>
            <w:r>
              <w:rPr>
                <w:rStyle w:val="DefaultTable"/>
              </w:rPr>
              <w:t xml:space="preserve">Assessment: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praktični izpit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practical exam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test iz teorije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test in theory</w:t>
            </w:r>
          </w:p>
        </w:tc>
      </w:tr>
    </w:tbl>
    <w:p/>
    <w:tbl>
      <w:tblPr>
        <w:tblStyle w:val="DefaultTable"/>
        <w:tblW w:w="5000" w:type="pct"/>
      </w:tblPr>
      <w:tblGrid>
        <w:gridCol/>
      </w:tblGrid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Reference nosilca/Lecturer's references: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MARKIČ, Olga. Šport kot predmet refleksije in osebna izkušnja. Ars &amp; humanitas : revija za umetnost in humanistiko, ISSN 1854-9632. [Tiskana izd.], 2012, [Letn.] 6, [št.] 1, str. 51-60. </w:t>
            </w:r>
            <w:r>
              <w:br/>
            </w:r>
            <w:r>
              <w:rPr>
                <w:rStyle w:val="DefaultTable"/>
              </w:rPr>
              <w:t xml:space="preserve">MARKIČ, Olga. Igre, vrednote in šport. V: VELIKONJA, Mitja (ur.), STANKOVIC, Peter (ur.), STARC, Gregor (ur.). Kalejdoskop športa : uvod v športne študije, (Zbirka Dialogi, letn. 10). Maribor: Aristej. 2009, str. 133-145, ilustr. </w:t>
            </w:r>
            <w:r>
              <w:br/>
            </w:r>
            <w:r>
              <w:rPr>
                <w:rStyle w:val="DefaultTable"/>
              </w:rPr>
              <w:t xml:space="preserve">MARKIČ, Olga. Sport as a laboratory for philosophy of cognitive science. V: LACERDA, Teresa (ur.). Programme and abstract book of the 40th Annual Conference of the International Association for the Philosophy of Sport, IAPS 2012. Évora: Universidade de Évora; Porto: Faculdade de desporto. 2012, str. 126-127. </w:t>
            </w:r>
            <w:r>
              <w:br/>
            </w:r>
            <w:r>
              <w:rPr>
                <w:rStyle w:val="DefaultTable"/>
              </w:rPr>
              <w:t xml:space="preserve">MARKIČ, Olga. Kognitivna znanost : filozofska vprašanja, (Zbirka Dialogi, letn. 11). 1. izd. Maribor: Aristej, 2011. 143 str., ilustr., tabele. ISBN 978-961-220-076-3. </w:t>
            </w:r>
            <w:r>
              <w:br/>
            </w:r>
            <w:r>
              <w:rPr>
                <w:rStyle w:val="DefaultTable"/>
              </w:rPr>
              <w:t xml:space="preserve">MARKIČ, Olga. Extended cognition : feedback loops and coupled systems. Interdisciplinary description of complex systems, ISSN 1334-4684, 2017, vol. 15, iss. 4, str. 270-280. </w:t>
            </w:r>
            <w:r>
              <w:br/>
            </w:r>
            <w:r>
              <w:rPr>
                <w:rStyle w:val="DefaultTable"/>
              </w:rPr>
              <w:t xml:space="preserve">KORDEŠ, Urban, MARKIC, Olga. Parallels between mindfulness and first-person research into consciousness. Asian studies, ISSN 2232-5131. [Print ed.], 2016, vol. 4, issue 2, str. 153-168. </w:t>
            </w:r>
          </w:p>
        </w:tc>
      </w:tr>
    </w:tbl>
    <w:sectPr w:rsidRPr="00615EA0" w:rsidR="00E32890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90302"/>
    <w:rsid w:val="000D7E81"/>
    <w:rsid w:val="001402F8"/>
    <w:rsid w:val="00161343"/>
    <w:rsid w:val="002116B5"/>
    <w:rsid w:val="00241413"/>
    <w:rsid w:val="002B7CE7"/>
    <w:rsid w:val="002E15C9"/>
    <w:rsid w:val="00336864"/>
    <w:rsid w:val="00434998"/>
    <w:rsid w:val="004350FB"/>
    <w:rsid w:val="0049772F"/>
    <w:rsid w:val="00615EA0"/>
    <w:rsid w:val="006345EB"/>
    <w:rsid w:val="0069778E"/>
    <w:rsid w:val="00752599"/>
    <w:rsid w:val="00762C94"/>
    <w:rsid w:val="007720CE"/>
    <w:rsid w:val="00832376"/>
    <w:rsid w:val="0085648F"/>
    <w:rsid w:val="00895D99"/>
    <w:rsid w:val="008B7D52"/>
    <w:rsid w:val="008C5984"/>
    <w:rsid w:val="008D2254"/>
    <w:rsid w:val="008D55C1"/>
    <w:rsid w:val="00912701"/>
    <w:rsid w:val="009834EA"/>
    <w:rsid w:val="00993DFA"/>
    <w:rsid w:val="00A04B24"/>
    <w:rsid w:val="00A42E40"/>
    <w:rsid w:val="00AA0A0F"/>
    <w:rsid w:val="00AD6198"/>
    <w:rsid w:val="00B13427"/>
    <w:rsid w:val="00B41EA5"/>
    <w:rsid w:val="00B959B9"/>
    <w:rsid w:val="00BA4AE7"/>
    <w:rsid w:val="00BD197C"/>
    <w:rsid w:val="00BD7F5C"/>
    <w:rsid w:val="00BF33AC"/>
    <w:rsid w:val="00C407B2"/>
    <w:rsid w:val="00CE5856"/>
    <w:rsid w:val="00D25C88"/>
    <w:rsid w:val="00DC7D1B"/>
    <w:rsid w:val="00E32890"/>
    <w:rsid w:val="00EF57B9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styleId="Heading2Char" w:customStyle="1">
    <w:name w:val="Heading 2 Char"/>
    <w:aliases w:val="heading 2 Char"/>
    <w:basedOn w:val="DefaultParagraphFont"/>
    <w:link w:val="Heading2"/>
    <w:uiPriority w:val="9"/>
    <w:rsid w:val="00F1347F"/>
    <w:rPr>
      <w:rFonts w:ascii="Arial" w:hAnsi="Arial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aliases w:val="heading 3 Char"/>
    <w:basedOn w:val="DefaultParagraphFont"/>
    <w:link w:val="Heading3"/>
    <w:uiPriority w:val="9"/>
    <w:rsid w:val="00F1347F"/>
    <w:rPr>
      <w:rFonts w:ascii="Arial" w:hAnsi="Arial" w:eastAsiaTheme="majorEastAsia" w:cstheme="majorBidi"/>
      <w:color w:val="323232" w:themeColor="text2"/>
      <w:sz w:val="24"/>
      <w:szCs w:val="24"/>
    </w:rPr>
  </w:style>
  <w:style w:type="character" w:styleId="Heading4Char" w:customStyle="1">
    <w:name w:val="Heading 4 Char"/>
    <w:aliases w:val="heading 4 Char"/>
    <w:basedOn w:val="DefaultParagraphFont"/>
    <w:link w:val="Heading4"/>
    <w:uiPriority w:val="9"/>
    <w:rsid w:val="00F1347F"/>
    <w:rPr>
      <w:rFonts w:ascii="Arial" w:hAnsi="Arial" w:eastAsiaTheme="majorEastAsia" w:cstheme="majorBidi"/>
      <w:sz w:val="22"/>
      <w:szCs w:val="22"/>
    </w:rPr>
  </w:style>
  <w:style w:type="character" w:styleId="Heading5Char" w:customStyle="1">
    <w:name w:val="Heading 5 Char"/>
    <w:aliases w:val="heading 5 Char"/>
    <w:basedOn w:val="DefaultParagraphFont"/>
    <w:link w:val="Heading5"/>
    <w:uiPriority w:val="9"/>
    <w:rsid w:val="00F1347F"/>
    <w:rPr>
      <w:rFonts w:ascii="Arial" w:hAnsi="Arial" w:eastAsiaTheme="majorEastAsia" w:cstheme="majorBidi"/>
      <w:color w:val="323232" w:themeColor="text2"/>
      <w:sz w:val="22"/>
      <w:szCs w:val="22"/>
    </w:rPr>
  </w:style>
  <w:style w:type="character" w:styleId="Heading6Char" w:customStyle="1">
    <w:name w:val="Heading 6 Char"/>
    <w:aliases w:val="heading 6 Char"/>
    <w:basedOn w:val="DefaultParagraphFont"/>
    <w:link w:val="Heading6"/>
    <w:uiPriority w:val="9"/>
    <w:rsid w:val="00F1347F"/>
    <w:rPr>
      <w:rFonts w:ascii="Arial" w:hAnsi="Arial" w:eastAsiaTheme="majorEastAsia" w:cstheme="majorBidi"/>
      <w:i/>
      <w:iCs/>
      <w:color w:val="323232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16B5"/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16B5"/>
    <w:rPr>
      <w:rFonts w:asciiTheme="majorHAnsi" w:hAnsiTheme="majorHAnsi" w:eastAsiaTheme="majorEastAsia" w:cstheme="majorBidi"/>
      <w:b/>
      <w:bCs/>
      <w:color w:val="323232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16B5"/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16B5"/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116B5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color="A5300F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16B5"/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color="DFD7CA" w:themeColor="accent4" w:themeTint="66" w:sz="4" w:space="0"/>
        <w:left w:val="single" w:color="DFD7CA" w:themeColor="accent4" w:themeTint="66" w:sz="4" w:space="0"/>
        <w:bottom w:val="single" w:color="DFD7CA" w:themeColor="accent4" w:themeTint="66" w:sz="4" w:space="0"/>
        <w:right w:val="single" w:color="DFD7CA" w:themeColor="accent4" w:themeTint="66" w:sz="4" w:space="0"/>
        <w:insideH w:val="single" w:color="DFD7CA" w:themeColor="accent4" w:themeTint="66" w:sz="4" w:space="0"/>
        <w:insideV w:val="single" w:color="DFD7CA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C3B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C3B0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color="F49E86" w:themeColor="accent1" w:themeTint="66" w:sz="4" w:space="0"/>
        <w:left w:val="single" w:color="F49E86" w:themeColor="accent1" w:themeTint="66" w:sz="4" w:space="0"/>
        <w:bottom w:val="single" w:color="F49E86" w:themeColor="accent1" w:themeTint="66" w:sz="4" w:space="0"/>
        <w:right w:val="single" w:color="F49E86" w:themeColor="accent1" w:themeTint="66" w:sz="4" w:space="0"/>
        <w:insideH w:val="single" w:color="F49E86" w:themeColor="accent1" w:themeTint="66" w:sz="4" w:space="0"/>
        <w:insideV w:val="single" w:color="F49E86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E6D49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6D49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" w:customStyle="1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efaultTable" w:customStyle="1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erticalTable" w:customStyle="1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aragraphTable" w:customStyle="1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="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theme" Target="/word/theme/theme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C92-DEA2-4132-8845-A5C90AB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Nanut, Matej</cp:lastModifiedBy>
  <cp:revision>45</cp:revision>
  <dcterms:created xsi:type="dcterms:W3CDTF">2015-03-19T09:29:00Z</dcterms:created>
  <dcterms:modified xsi:type="dcterms:W3CDTF">2022-08-11T13:17:00Z</dcterms:modified>
</cp:coreProperties>
</file>