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14" w:rsidRDefault="003A04D4">
      <w:pPr>
        <w:pStyle w:val="Naslov1"/>
      </w:pPr>
      <w:bookmarkStart w:id="0" w:name="_GoBack"/>
      <w:bookmarkEnd w:id="0"/>
      <w:r>
        <w:t>Učni načrt predmeta/Course syllabus</w:t>
      </w:r>
    </w:p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2888"/>
        <w:gridCol w:w="6740"/>
      </w:tblGrid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117814" w:rsidRDefault="003A04D4">
            <w:r>
              <w:t>Predmet:</w:t>
            </w:r>
          </w:p>
        </w:tc>
        <w:tc>
          <w:tcPr>
            <w:tcW w:w="35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Visokošolska didaktika I</w:t>
            </w:r>
          </w:p>
        </w:tc>
      </w:tr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117814" w:rsidRDefault="003A04D4">
            <w:r>
              <w:t>Course title:</w:t>
            </w:r>
          </w:p>
        </w:tc>
        <w:tc>
          <w:tcPr>
            <w:tcW w:w="35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and Learning in Higher Education I</w:t>
            </w:r>
          </w:p>
        </w:tc>
      </w:tr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117814" w:rsidRDefault="003A04D4">
            <w:r>
              <w:t>Članica nosilka/UL Member:</w:t>
            </w:r>
          </w:p>
        </w:tc>
        <w:tc>
          <w:tcPr>
            <w:tcW w:w="3500" w:type="pct"/>
          </w:tcPr>
          <w:p w:rsidR="00117814" w:rsidRDefault="00117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3852"/>
        <w:gridCol w:w="2888"/>
        <w:gridCol w:w="1444"/>
        <w:gridCol w:w="144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pct"/>
          </w:tcPr>
          <w:p w:rsidR="00117814" w:rsidRDefault="003A04D4">
            <w:r>
              <w:t>Študijski programi in stopnja</w:t>
            </w:r>
          </w:p>
        </w:tc>
        <w:tc>
          <w:tcPr>
            <w:tcW w:w="1500" w:type="pct"/>
          </w:tcPr>
          <w:p w:rsidR="00117814" w:rsidRDefault="003A04D4">
            <w:r>
              <w:t>Študijska smer</w:t>
            </w:r>
          </w:p>
        </w:tc>
        <w:tc>
          <w:tcPr>
            <w:tcW w:w="750" w:type="pct"/>
          </w:tcPr>
          <w:p w:rsidR="00117814" w:rsidRDefault="003A04D4">
            <w:r>
              <w:t>Letnik</w:t>
            </w:r>
          </w:p>
        </w:tc>
        <w:tc>
          <w:tcPr>
            <w:tcW w:w="750" w:type="pct"/>
          </w:tcPr>
          <w:p w:rsidR="00117814" w:rsidRDefault="003A04D4">
            <w:r>
              <w:t>Semestri</w:t>
            </w:r>
          </w:p>
        </w:tc>
      </w:tr>
      <w:tr w:rsidR="00117814" w:rsidTr="00117814">
        <w:tc>
          <w:tcPr>
            <w:tcW w:w="2000" w:type="pct"/>
          </w:tcPr>
          <w:p w:rsidR="00117814" w:rsidRDefault="003A04D4">
            <w:r>
              <w:t>Humanistika in družboslovje, tretja stopnja, doktorski</w:t>
            </w:r>
          </w:p>
        </w:tc>
        <w:tc>
          <w:tcPr>
            <w:tcW w:w="1500" w:type="pct"/>
          </w:tcPr>
          <w:p w:rsidR="00117814" w:rsidRDefault="003A04D4">
            <w:r>
              <w:t xml:space="preserve">Ni členitve (študijski program)                </w:t>
            </w:r>
          </w:p>
        </w:tc>
        <w:tc>
          <w:tcPr>
            <w:tcW w:w="750" w:type="pct"/>
          </w:tcPr>
          <w:p w:rsidR="00117814" w:rsidRDefault="00117814"/>
        </w:tc>
        <w:tc>
          <w:tcPr>
            <w:tcW w:w="750" w:type="pct"/>
          </w:tcPr>
          <w:p w:rsidR="00117814" w:rsidRDefault="003A04D4">
            <w:r>
              <w:t>1. semester</w:t>
            </w:r>
            <w:r>
              <w:br/>
              <w:t xml:space="preserve">2. semester                </w:t>
            </w:r>
          </w:p>
        </w:tc>
      </w:tr>
      <w:tr w:rsidR="00117814" w:rsidTr="00117814">
        <w:tc>
          <w:tcPr>
            <w:tcW w:w="2000" w:type="pct"/>
          </w:tcPr>
          <w:p w:rsidR="00117814" w:rsidRDefault="003A04D4">
            <w:r>
              <w:t>Humanistika in družboslovje, tretja stopnja, doktorski</w:t>
            </w:r>
          </w:p>
        </w:tc>
        <w:tc>
          <w:tcPr>
            <w:tcW w:w="1500" w:type="pct"/>
          </w:tcPr>
          <w:p w:rsidR="00117814" w:rsidRDefault="003A04D4">
            <w:r>
              <w:t xml:space="preserve">Ni členitve (študijski program)                </w:t>
            </w:r>
          </w:p>
        </w:tc>
        <w:tc>
          <w:tcPr>
            <w:tcW w:w="750" w:type="pct"/>
          </w:tcPr>
          <w:p w:rsidR="00117814" w:rsidRDefault="00117814"/>
        </w:tc>
        <w:tc>
          <w:tcPr>
            <w:tcW w:w="750" w:type="pct"/>
          </w:tcPr>
          <w:p w:rsidR="00117814" w:rsidRDefault="003A04D4">
            <w:r>
              <w:t>1. semester</w:t>
            </w:r>
            <w:r>
              <w:br/>
              <w:t xml:space="preserve">2. semester                </w:t>
            </w:r>
          </w:p>
        </w:tc>
      </w:tr>
    </w:tbl>
    <w:p w:rsidR="00117814" w:rsidRDefault="00117814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5295"/>
        <w:gridCol w:w="4333"/>
      </w:tblGrid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117814" w:rsidRDefault="003A04D4">
            <w:r>
              <w:t>Univerzitetna koda predmeta/University course code:</w:t>
            </w:r>
          </w:p>
        </w:tc>
        <w:tc>
          <w:tcPr>
            <w:tcW w:w="225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0040443</w:t>
            </w:r>
          </w:p>
        </w:tc>
      </w:tr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117814" w:rsidRDefault="003A04D4">
            <w:r>
              <w:t>Koda učne enote na članici/UL Member course code:</w:t>
            </w:r>
          </w:p>
        </w:tc>
        <w:tc>
          <w:tcPr>
            <w:tcW w:w="225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03"/>
        <w:gridCol w:w="1503"/>
        <w:gridCol w:w="613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Predavanja</w:t>
            </w:r>
          </w:p>
        </w:tc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Seminar</w:t>
            </w:r>
          </w:p>
        </w:tc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Vaje</w:t>
            </w:r>
          </w:p>
        </w:tc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Klinične vaje</w:t>
            </w:r>
          </w:p>
        </w:tc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Druge oblike študija</w:t>
            </w:r>
          </w:p>
        </w:tc>
        <w:tc>
          <w:tcPr>
            <w:tcW w:w="800" w:type="pct"/>
          </w:tcPr>
          <w:p w:rsidR="00117814" w:rsidRDefault="003A04D4">
            <w:pPr>
              <w:keepNext/>
              <w:jc w:val="center"/>
            </w:pPr>
            <w:r>
              <w:t>Samostojno delo</w:t>
            </w:r>
          </w:p>
        </w:tc>
        <w:tc>
          <w:tcPr>
            <w:tcW w:w="200" w:type="pct"/>
          </w:tcPr>
          <w:p w:rsidR="00117814" w:rsidRDefault="003A04D4">
            <w:pPr>
              <w:keepNext/>
              <w:jc w:val="center"/>
            </w:pPr>
            <w:r>
              <w:t>ECTS</w:t>
            </w:r>
          </w:p>
        </w:tc>
      </w:tr>
      <w:tr w:rsidR="00117814"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17814" w:rsidRDefault="00117814">
            <w:pPr>
              <w:keepNext/>
              <w:jc w:val="center"/>
            </w:pPr>
          </w:p>
        </w:tc>
        <w:tc>
          <w:tcPr>
            <w:tcW w:w="0" w:type="auto"/>
          </w:tcPr>
          <w:p w:rsidR="00117814" w:rsidRDefault="00117814">
            <w:pPr>
              <w:keepNext/>
              <w:jc w:val="center"/>
            </w:pPr>
          </w:p>
        </w:tc>
        <w:tc>
          <w:tcPr>
            <w:tcW w:w="0" w:type="auto"/>
          </w:tcPr>
          <w:p w:rsidR="00117814" w:rsidRDefault="00117814">
            <w:pPr>
              <w:keepNext/>
              <w:jc w:val="center"/>
            </w:pP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5</w:t>
            </w:r>
          </w:p>
        </w:tc>
      </w:tr>
    </w:tbl>
    <w:p w:rsidR="00117814" w:rsidRDefault="00117814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6547"/>
      </w:tblGrid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117814" w:rsidRDefault="003A04D4">
            <w:r>
              <w:t>Nosilec predmeta/Lecturer:</w:t>
            </w:r>
          </w:p>
        </w:tc>
        <w:tc>
          <w:tcPr>
            <w:tcW w:w="34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Janica Kalin            </w:t>
            </w:r>
          </w:p>
        </w:tc>
      </w:tr>
    </w:tbl>
    <w:p w:rsidR="00117814" w:rsidRDefault="00117814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6547"/>
      </w:tblGrid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117814" w:rsidRDefault="003A04D4">
            <w:r>
              <w:t>Vrsta predmeta/Course type:</w:t>
            </w:r>
          </w:p>
        </w:tc>
        <w:tc>
          <w:tcPr>
            <w:tcW w:w="34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Izbirni/Elective  </w:t>
            </w:r>
          </w:p>
        </w:tc>
      </w:tr>
    </w:tbl>
    <w:p w:rsidR="00117814" w:rsidRDefault="00117814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3081"/>
        <w:gridCol w:w="3466"/>
      </w:tblGrid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117814" w:rsidRDefault="003A04D4">
            <w:r>
              <w:t>Jeziki/Languages:</w:t>
            </w:r>
          </w:p>
        </w:tc>
        <w:tc>
          <w:tcPr>
            <w:tcW w:w="16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Predavanja/Lectures:</w:t>
            </w:r>
          </w:p>
        </w:tc>
        <w:tc>
          <w:tcPr>
            <w:tcW w:w="18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Slovenščina                </w:t>
            </w:r>
          </w:p>
        </w:tc>
      </w:tr>
      <w:tr w:rsidR="00117814" w:rsidTr="00117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117814" w:rsidRDefault="00117814"/>
        </w:tc>
        <w:tc>
          <w:tcPr>
            <w:tcW w:w="1600" w:type="pct"/>
          </w:tcPr>
          <w:p w:rsidR="00117814" w:rsidRDefault="003A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Vaje/Tutorial:</w:t>
            </w:r>
          </w:p>
        </w:tc>
        <w:tc>
          <w:tcPr>
            <w:tcW w:w="1800" w:type="pct"/>
          </w:tcPr>
          <w:p w:rsidR="00117814" w:rsidRDefault="00117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17814" w:rsidRDefault="003A04D4">
            <w:r>
              <w:t>Pogoji za vključitev v delo oz. za opravljanje študijskih obveznosti:</w:t>
            </w:r>
          </w:p>
        </w:tc>
        <w:tc>
          <w:tcPr>
            <w:tcW w:w="2500" w:type="pct"/>
          </w:tcPr>
          <w:p w:rsidR="00117814" w:rsidRDefault="003A04D4">
            <w:r>
              <w:t>Prerequisites: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>Dokončana druga bolonjska stopnja študija katerekoli smeri. Zaradi aktivnih oblik dela se predmet izvaja v manjših skupinah do 24 udeležencev.</w:t>
            </w:r>
          </w:p>
        </w:tc>
        <w:tc>
          <w:tcPr>
            <w:tcW w:w="0" w:type="auto"/>
          </w:tcPr>
          <w:p w:rsidR="00117814" w:rsidRDefault="003A04D4">
            <w:r>
              <w:t>Completed 2nd level Bologna studies (any programme). Due to active teaching methods, the course is carried out in groups of up to 24 students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17814" w:rsidRDefault="003A04D4">
            <w:r>
              <w:t>Vsebina:</w:t>
            </w:r>
          </w:p>
        </w:tc>
        <w:tc>
          <w:tcPr>
            <w:tcW w:w="2500" w:type="pct"/>
          </w:tcPr>
          <w:p w:rsidR="00117814" w:rsidRDefault="003A04D4">
            <w:r>
              <w:t>Content (Syllabus outline):</w:t>
            </w:r>
          </w:p>
        </w:tc>
      </w:tr>
      <w:tr w:rsidR="00117814">
        <w:tc>
          <w:tcPr>
            <w:tcW w:w="0" w:type="auto"/>
          </w:tcPr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Teoretske osnove za spodbujanje kakovostnega, aktivnega študija zlasti s k</w:t>
            </w:r>
            <w:r>
              <w:t>onstruktivističnih in humanističnih izhodišč,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Pomen medosebnih odnosov in kakovostne (besedne in nebesedne) komunikacije v študijskem procesu.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Osnove kurikularnega načrtovanja v visokem šolstvu.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Oblike in metode visokošolskega izobraževanja; tudi sodobnejš</w:t>
            </w:r>
            <w:r>
              <w:t>e (npr. problemsko zasnovan pouk) in njihovo izbiranje in kombiniranje ob upoštevanju ciljev, posebnosti stroke in posebnosti udeležencev.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Izboljševanje predavanj (prehod od tradicionalnih na interaktivna), seminarjev, vaj in praktikumov.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Principi in modeli skupinskega dela v različno velikih skupinah.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Spodbujanje globljega razumevanja ter kritičnega in ustvarjalnega mišljenja študentov, razvoj profesionalnih veščin in etosa.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lastRenderedPageBreak/>
              <w:t>Optimalno povezovanje teorije in prakse med študijem.</w:t>
            </w:r>
          </w:p>
          <w:p w:rsidR="00117814" w:rsidRDefault="003A04D4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Priprava št</w:t>
            </w:r>
            <w:r>
              <w:t>udijskih gradiv in smotrno vključevanje sodobne informacijsko komunikacijske tehnologije v študijski proces, e-učenje.</w:t>
            </w:r>
          </w:p>
        </w:tc>
        <w:tc>
          <w:tcPr>
            <w:tcW w:w="0" w:type="auto"/>
          </w:tcPr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lastRenderedPageBreak/>
              <w:t>Theoretical foundations of encouraging self-regulation in learning process, with a focus on a constructivist and humanist paradigm,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The role of interpersonal relationships and quality communication (verbal and non-verbal) in the education process;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Foundations of curriculum planning in higher education;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 xml:space="preserve">Formats and methods of higher education (including approaches such as problem-based </w:t>
            </w:r>
            <w:r>
              <w:t>learning), choosing and combining methods and approaches according to aims, specific discipline and learner needs;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Improvement of lectures (transition from traditional to interactive lectures), seminars, tutorials and practicums;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Principles and models of g</w:t>
            </w:r>
            <w:r>
              <w:t>roup work for different group sizes;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lastRenderedPageBreak/>
              <w:t>Encouragement of deep understanding and critical and creative thinking in students, development of professional skills and ethics;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Optimal integration of theory and practice in higher education programmes;</w:t>
            </w:r>
          </w:p>
          <w:p w:rsidR="00117814" w:rsidRDefault="003A04D4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Design of stu</w:t>
            </w:r>
            <w:r>
              <w:t>dy materials and meaningful integration of ICT in higher education, e-learning;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117814" w:rsidRDefault="003A04D4">
            <w:r>
              <w:t>Temeljna literatura in viri/Readings: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Marentič Požarnik B. in sodel. (2001). Visokošolski pouk – malo drugače. Ljubljana: CPI FF.</w:t>
            </w:r>
          </w:p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Puklek, M., Marentič Požarnik B., (2005) Sk</w:t>
            </w:r>
            <w:r>
              <w:t>upinsko delo za uspešnejši študij. Ljubljana: CPI FF.</w:t>
            </w:r>
          </w:p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Exley K., R. Dennick (2004). Giving a lecture. From presenting to teaching.London: Routledge Falmer.</w:t>
            </w:r>
          </w:p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Hartley, P., Woods, A., Pill, M. (2005). Enhancing teaching in higher education. New approaches for improving student learning. London: Routledge.</w:t>
            </w:r>
          </w:p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Prosser, M., Trigwell, K. (2000). Understanding Learning and Teaching. The Experience in Higher Education.Buc</w:t>
            </w:r>
            <w:r>
              <w:t>kingham: Open University Press.</w:t>
            </w:r>
          </w:p>
          <w:p w:rsidR="00117814" w:rsidRDefault="003A04D4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Lavrič, A. (2005). Učinki multimedije na učenje. Sodobna pedagogika, št. 4, 214-225.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17814" w:rsidRDefault="003A04D4">
            <w:r>
              <w:t>Cilji in kompetence:</w:t>
            </w:r>
          </w:p>
        </w:tc>
        <w:tc>
          <w:tcPr>
            <w:tcW w:w="2500" w:type="pct"/>
          </w:tcPr>
          <w:p w:rsidR="00117814" w:rsidRDefault="003A04D4">
            <w:r>
              <w:t>Objectives and competences: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>Kandidati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pridobe teoretično osnovo in se usposobijo za optimalno načrtovanje in izvaja</w:t>
            </w:r>
            <w:r>
              <w:t>nje študijskega procesa ob usklajevanju ciljev, metod in vsebin,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se usposobijo za premišljeno izbiranje in kombiniranje različnih oblik in metod visokošolskega izobraževanja, zlasti glede na cilje in zaželene kompetence študentov,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se izpopolnijo v izvajanj</w:t>
            </w:r>
            <w:r>
              <w:t>u različnih metod in oblik za delo v različno velikih skupinah študentov,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razširijo svoj repertoar zlasti s tistimi metodami in oblikami, ki spodbujajo pri študentih globinski pristop in aktiven samostojen študij v skladu z namerami bolonjske prenove,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se u</w:t>
            </w:r>
            <w:r>
              <w:t>vedejo v smotrno uporabo IKT v visokošolskem izobraževanju, s poudarkom na e-učenju,</w:t>
            </w:r>
          </w:p>
          <w:p w:rsidR="00117814" w:rsidRDefault="003A04D4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pridobe razmišljajoče stališče do svoje pedagoške prakse in pripravljenost za njeno stalno izboljševanje na osnovi raziskovanja in (samo)evalvacije</w:t>
            </w:r>
          </w:p>
        </w:tc>
        <w:tc>
          <w:tcPr>
            <w:tcW w:w="0" w:type="auto"/>
          </w:tcPr>
          <w:p w:rsidR="00117814" w:rsidRDefault="003A04D4">
            <w:r>
              <w:t>Candidates will: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gain a theoretical background and skill in optimal planning, execution and evaluation of the learning process in higher education, and aligning curriculum goals, methods, content and assessment;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be trained to critically choose and combine different formats</w:t>
            </w:r>
            <w:r>
              <w:t xml:space="preserve"> and methods of providing higher education, particularly in view of the aims and desired competences of students,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learn to apply various methods and techniques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broaden their repertoire of methods that encourage deep and self-directed learning, as per the a</w:t>
            </w:r>
            <w:r>
              <w:t>ims of the Bologna reform;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design of study materials and meaningful integration of ICT in higher education, e-learning;</w:t>
            </w:r>
          </w:p>
          <w:p w:rsidR="00117814" w:rsidRDefault="003A04D4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develop a reflective stance towards their own teaching and willingness for its constant improvement based on research and (self)evaluati</w:t>
            </w:r>
            <w:r>
              <w:t>on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17814" w:rsidRDefault="003A04D4">
            <w:r>
              <w:t>Predvideni študijski rezultati:</w:t>
            </w:r>
          </w:p>
        </w:tc>
        <w:tc>
          <w:tcPr>
            <w:tcW w:w="2500" w:type="pct"/>
          </w:tcPr>
          <w:p w:rsidR="00117814" w:rsidRDefault="003A04D4">
            <w:r>
              <w:t>Intended learning outcomes: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>Znanje in razumevanje:</w:t>
            </w:r>
          </w:p>
          <w:p w:rsidR="00117814" w:rsidRDefault="003A04D4">
            <w:r>
              <w:t>Študij bo usmeril kandidata na aplikacijo pridobljenih znanj in spretnosti na konkretno predmetno področje oz. stroko. Pri tem naj bi pridobil zlasti še:</w:t>
            </w:r>
          </w:p>
          <w:p w:rsidR="00117814" w:rsidRDefault="003A04D4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r>
              <w:t>Usposobljenost za celostno razumevanje položaja učitelja in študenta na osnovi različnih paradigmatskih izhodišč pri univerzitetnem študiju stroke.</w:t>
            </w:r>
          </w:p>
          <w:p w:rsidR="00117814" w:rsidRDefault="003A04D4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r>
              <w:t>Spretnosti za oblikovanje takih učnih situacij, v katerih bodo študentje aktivni sooblikovalci študijskega p</w:t>
            </w:r>
            <w:r>
              <w:t>rocesa, tako na predavanjih kot tudi na seminarjih in vajah.</w:t>
            </w:r>
          </w:p>
          <w:p w:rsidR="00117814" w:rsidRDefault="003A04D4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r>
              <w:t>Usposobljenost za načrtovanje in izvajanje nekaterih oblik e-učenja ob poudarku na sestavljanju in izbiri primernih gradiv in nalog.</w:t>
            </w:r>
          </w:p>
          <w:p w:rsidR="00117814" w:rsidRDefault="003A04D4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r>
              <w:lastRenderedPageBreak/>
              <w:t>Usposobljenost za načrtovanje in izvajanje problemsko zasnovan</w:t>
            </w:r>
            <w:r>
              <w:t>ega študija, in razvijanje problemskih učnih zmožnosti pri študentih.</w:t>
            </w:r>
          </w:p>
          <w:p w:rsidR="00117814" w:rsidRDefault="003A04D4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r>
              <w:t>Prepoznavanje študentov z različnimi potrebami, usposobljenost za načrtovanje in učinkovito delo z njimi.</w:t>
            </w:r>
          </w:p>
        </w:tc>
        <w:tc>
          <w:tcPr>
            <w:tcW w:w="0" w:type="auto"/>
          </w:tcPr>
          <w:p w:rsidR="00117814" w:rsidRDefault="003A04D4">
            <w:r>
              <w:lastRenderedPageBreak/>
              <w:t>Knowledge and understanding:</w:t>
            </w:r>
          </w:p>
          <w:p w:rsidR="00117814" w:rsidRDefault="003A04D4">
            <w:r>
              <w:t>The course will encourage candidates to apply their</w:t>
            </w:r>
            <w:r>
              <w:t xml:space="preserve"> knowledge and skills to a specific subject area /discipline. With a view to this, the candidates should gain:</w:t>
            </w:r>
          </w:p>
          <w:p w:rsidR="00117814" w:rsidRDefault="003A04D4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a holistic understanding of the role of teachers and students in higher education disciplines in various paradigms;</w:t>
            </w:r>
          </w:p>
          <w:p w:rsidR="00117814" w:rsidRDefault="003A04D4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skill in creating learning si</w:t>
            </w:r>
            <w:r>
              <w:t>tuations which will enable students to be active participants in the education process;</w:t>
            </w:r>
          </w:p>
          <w:p w:rsidR="00117814" w:rsidRDefault="003A04D4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skill in planning and execution of some e-learning strategies and designing of study materials</w:t>
            </w:r>
          </w:p>
          <w:p w:rsidR="00117814" w:rsidRDefault="003A04D4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skill in planning and execution of problem-based learning, formulation of relevant problems and development of problem-solving skills in students;</w:t>
            </w:r>
          </w:p>
          <w:p w:rsidR="00117814" w:rsidRDefault="003A04D4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lastRenderedPageBreak/>
              <w:t>the ability to identify students with different needs and to plan and execute teaching according to their nee</w:t>
            </w:r>
            <w:r>
              <w:t>ds.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17814" w:rsidRDefault="003A04D4">
            <w:r>
              <w:t>Metode poučevanja in učenja:</w:t>
            </w:r>
          </w:p>
        </w:tc>
        <w:tc>
          <w:tcPr>
            <w:tcW w:w="2500" w:type="pct"/>
          </w:tcPr>
          <w:p w:rsidR="00117814" w:rsidRDefault="003A04D4">
            <w:r>
              <w:t>Learning and teaching methods: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>So v osnovi take, kakršne naj bi kandidati uporabljali v svojem pedagoškem delu: interaktivna predavanja, izkustvene vaje s poudarkom na mini nastopih s povratno informacijo, razprave in druge oblike skupinskega dela, voden študij literature, kolegialne ho</w:t>
            </w:r>
            <w:r>
              <w:t>spitacije in konzultacije ob izdelavi seminarske naloge, delo v e-učilnici.</w:t>
            </w:r>
          </w:p>
        </w:tc>
        <w:tc>
          <w:tcPr>
            <w:tcW w:w="0" w:type="auto"/>
          </w:tcPr>
          <w:p w:rsidR="00117814" w:rsidRDefault="003A04D4">
            <w:r>
              <w:t>Interactive lectures, experiential exercises with feedback and reflection, discussions, group work, guided literature study (LTD method), peer observations, individual consultation</w:t>
            </w:r>
            <w:r>
              <w:t>s, supervision of thesis writing, e-learning.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133"/>
        <w:gridCol w:w="1361"/>
        <w:gridCol w:w="4134"/>
      </w:tblGrid>
      <w:tr w:rsidR="00117814" w:rsidT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0" w:type="pct"/>
          </w:tcPr>
          <w:p w:rsidR="00117814" w:rsidRDefault="003A04D4">
            <w:r>
              <w:t>Načini ocenjevanja:</w:t>
            </w:r>
          </w:p>
        </w:tc>
        <w:tc>
          <w:tcPr>
            <w:tcW w:w="600" w:type="pct"/>
          </w:tcPr>
          <w:p w:rsidR="00117814" w:rsidRDefault="003A04D4">
            <w:pPr>
              <w:keepNext/>
              <w:jc w:val="center"/>
            </w:pPr>
            <w:r>
              <w:t>Delež/Weight</w:t>
            </w:r>
          </w:p>
        </w:tc>
        <w:tc>
          <w:tcPr>
            <w:tcW w:w="2200" w:type="pct"/>
          </w:tcPr>
          <w:p w:rsidR="00117814" w:rsidRDefault="003A04D4">
            <w:r>
              <w:t>Assessment: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 xml:space="preserve">Uspešno izvajanje sprotnih aktivnosti s spremljajočimi izdelki, zbranimi v študijski portfolio (poglobljen študij izbrane literature po metodi LTD, mini nastop s </w:t>
            </w:r>
            <w:r>
              <w:t>povratno video informacijo in refleksijo, strukturirane vaje, kolegialna hospitacija, priprava za oblikovanje e-gradiva), seminarska naloga z zagovorom. Portfolijo</w:t>
            </w: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:rsidR="00117814" w:rsidRDefault="003A04D4">
            <w:r>
              <w:t>Uspešno izvajanje sprotnih aktivnosti s spremljajočimi izdelki, zbranimi v študijski</w:t>
            </w:r>
            <w:r>
              <w:t xml:space="preserve"> portfolio (poglobljen študij izbrane literature po metodi LTD, mini nastop s povratno video informacijo in refleksijo, strukturirane vaje, kolegialna hospitacija, priprava za oblikovanje e-gradiva), seminarska naloga z zagovorom. Portfolio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 xml:space="preserve">Seminarska naloga </w:t>
            </w: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30,00 %</w:t>
            </w:r>
          </w:p>
        </w:tc>
        <w:tc>
          <w:tcPr>
            <w:tcW w:w="0" w:type="auto"/>
          </w:tcPr>
          <w:p w:rsidR="00117814" w:rsidRDefault="003A04D4">
            <w:r>
              <w:t xml:space="preserve">Seminar thesis </w:t>
            </w:r>
          </w:p>
        </w:tc>
      </w:tr>
      <w:tr w:rsidR="00117814">
        <w:tc>
          <w:tcPr>
            <w:tcW w:w="0" w:type="auto"/>
          </w:tcPr>
          <w:p w:rsidR="00117814" w:rsidRDefault="003A04D4">
            <w:r>
              <w:t>Zagovor</w:t>
            </w:r>
          </w:p>
        </w:tc>
        <w:tc>
          <w:tcPr>
            <w:tcW w:w="0" w:type="auto"/>
          </w:tcPr>
          <w:p w:rsidR="00117814" w:rsidRDefault="003A04D4">
            <w:pPr>
              <w:keepNext/>
              <w:jc w:val="center"/>
            </w:pPr>
            <w:r>
              <w:t>20,00 %</w:t>
            </w:r>
          </w:p>
        </w:tc>
        <w:tc>
          <w:tcPr>
            <w:tcW w:w="0" w:type="auto"/>
          </w:tcPr>
          <w:p w:rsidR="00117814" w:rsidRDefault="003A04D4">
            <w:r>
              <w:t>Defence</w:t>
            </w:r>
          </w:p>
        </w:tc>
      </w:tr>
    </w:tbl>
    <w:p w:rsidR="00117814" w:rsidRDefault="00117814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17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117814" w:rsidRDefault="003A04D4">
            <w:r>
              <w:t>Reference nosilca/Lecturer's references:</w:t>
            </w:r>
          </w:p>
        </w:tc>
      </w:tr>
      <w:tr w:rsidR="00117814">
        <w:tc>
          <w:tcPr>
            <w:tcW w:w="0" w:type="auto"/>
          </w:tcPr>
          <w:p w:rsidR="00117814" w:rsidRDefault="003A04D4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 xml:space="preserve">Kalin, J., Šteh, B. (2007). Spreminjanje pojmovanj znanja, učiteljeve in študentove vloge v času študija: med vizijo in realnostjo. </w:t>
            </w:r>
            <w:r>
              <w:rPr>
                <w:i/>
              </w:rPr>
              <w:t>Sodob. pedag</w:t>
            </w:r>
            <w:r>
              <w:rPr>
                <w:i/>
              </w:rPr>
              <w:t>og</w:t>
            </w:r>
            <w:r>
              <w:t>., letn. 58, št. 1, str. 10-27.</w:t>
            </w:r>
          </w:p>
          <w:p w:rsidR="00117814" w:rsidRDefault="003A04D4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 xml:space="preserve">Šteh, B., Kalin, J., Mažgon, J. (2014). The role and responsibility of teachers and students in university studies: a comparative analysis of the views expressed by pedagogy students. </w:t>
            </w:r>
            <w:r>
              <w:rPr>
                <w:i/>
              </w:rPr>
              <w:t>Zbornik Instituta za pedagoška istraži</w:t>
            </w:r>
            <w:r>
              <w:rPr>
                <w:i/>
              </w:rPr>
              <w:t>vanja</w:t>
            </w:r>
            <w:r>
              <w:t>, letn. 46, št. 1, str. 50-67.</w:t>
            </w:r>
          </w:p>
          <w:p w:rsidR="00117814" w:rsidRDefault="003A04D4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 xml:space="preserve">Valenčič Zuljan, M., Peklaj, C., Pečjak, S., Puklek Levpušček, M., Kalin, J. (2012). Didactic competencies of teachers from the learner's viewpoint. </w:t>
            </w:r>
            <w:r>
              <w:rPr>
                <w:i/>
              </w:rPr>
              <w:t>Educational studies</w:t>
            </w:r>
            <w:r>
              <w:t>,, letn. 38, št. 1, str. 51-62.</w:t>
            </w:r>
          </w:p>
          <w:p w:rsidR="00117814" w:rsidRDefault="003A04D4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 xml:space="preserve">Kalin, J., Šteh, B. </w:t>
            </w:r>
            <w:r>
              <w:t xml:space="preserve">(2014). Pojmovanja študentov o učenju, njihovi vlogi in vlogi učiteljev v študiju. V: SPASENOVIĆ, Vera (ur.), ERMENC, Klara S. (ur.). </w:t>
            </w:r>
            <w:r>
              <w:rPr>
                <w:i/>
              </w:rPr>
              <w:t xml:space="preserve">Kakovost univerzitetnega izobraževanja : mnenja študentov oddelkov za pedagogiko in andragogiko v Beogradu in Ljubljani = </w:t>
            </w:r>
            <w:r>
              <w:rPr>
                <w:i/>
              </w:rPr>
              <w:t>Kvalitet univerzitetskog obrazovanja : viđenje studenata odeljenja za pedagogiju i andragogiju u Beogradu i Ljubljani</w:t>
            </w:r>
            <w:r>
              <w:t xml:space="preserve">. 1. izd. Ljubljana: Znanstvena založba Filozofske fakultete; U Beogradu: Institut za pedagogiju i andragogiju Filozofskog fakulteta, str. </w:t>
            </w:r>
            <w:r>
              <w:t>75-91.</w:t>
            </w:r>
          </w:p>
          <w:p w:rsidR="00117814" w:rsidRDefault="003A04D4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>Muršak, J., Javrh, P., Kalin, J</w:t>
            </w:r>
            <w:r>
              <w:rPr>
                <w:i/>
              </w:rPr>
              <w:t xml:space="preserve">. </w:t>
            </w:r>
            <w:r>
              <w:t>(2015).</w:t>
            </w:r>
            <w:r>
              <w:rPr>
                <w:i/>
              </w:rPr>
              <w:t xml:space="preserve"> Community and teacher's professional development</w:t>
            </w:r>
            <w:r>
              <w:t>, (Studien zur Berufs- und Professionsforschung, 23). Hamburg: Verlag Dr. Kovac, ISBN 978-3-8300-8078-7.</w:t>
            </w:r>
          </w:p>
        </w:tc>
      </w:tr>
    </w:tbl>
    <w:p w:rsidR="00000000" w:rsidRDefault="003A04D4"/>
    <w:sectPr w:rsidR="00000000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38"/>
    <w:multiLevelType w:val="singleLevel"/>
    <w:tmpl w:val="ED40383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B7B1AC6"/>
    <w:multiLevelType w:val="singleLevel"/>
    <w:tmpl w:val="A00A304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FD2786A"/>
    <w:multiLevelType w:val="singleLevel"/>
    <w:tmpl w:val="8E526472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30D4730"/>
    <w:multiLevelType w:val="singleLevel"/>
    <w:tmpl w:val="895AA872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0EA16C3"/>
    <w:multiLevelType w:val="singleLevel"/>
    <w:tmpl w:val="C054F73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65816EF"/>
    <w:multiLevelType w:val="singleLevel"/>
    <w:tmpl w:val="0E6EEFB8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6A0D3A38"/>
    <w:multiLevelType w:val="singleLevel"/>
    <w:tmpl w:val="5DF6322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76F265CB"/>
    <w:multiLevelType w:val="singleLevel"/>
    <w:tmpl w:val="C540E168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EB"/>
    <w:rsid w:val="00090302"/>
    <w:rsid w:val="000D7E81"/>
    <w:rsid w:val="00117814"/>
    <w:rsid w:val="001402F8"/>
    <w:rsid w:val="00161343"/>
    <w:rsid w:val="002116B5"/>
    <w:rsid w:val="00241413"/>
    <w:rsid w:val="002B7CE7"/>
    <w:rsid w:val="00336864"/>
    <w:rsid w:val="003A04D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95D99"/>
    <w:rsid w:val="008C5984"/>
    <w:rsid w:val="008D2254"/>
    <w:rsid w:val="008D55C1"/>
    <w:rsid w:val="00912701"/>
    <w:rsid w:val="009834EA"/>
    <w:rsid w:val="00993DFA"/>
    <w:rsid w:val="00A04B24"/>
    <w:rsid w:val="00A42E40"/>
    <w:rsid w:val="00AA0A0F"/>
    <w:rsid w:val="00AD6198"/>
    <w:rsid w:val="00B13427"/>
    <w:rsid w:val="00B41EA5"/>
    <w:rsid w:val="00B959B9"/>
    <w:rsid w:val="00BA4AE7"/>
    <w:rsid w:val="00BD197C"/>
    <w:rsid w:val="00BD7F5C"/>
    <w:rsid w:val="00BF33AC"/>
    <w:rsid w:val="00C407B2"/>
    <w:rsid w:val="00C41620"/>
    <w:rsid w:val="00CE5856"/>
    <w:rsid w:val="00D25C88"/>
    <w:rsid w:val="00DC7D1B"/>
    <w:rsid w:val="00E32890"/>
    <w:rsid w:val="00EF57B9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E00B-A10C-4482-8A38-81B652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ormal"/>
    <w:qFormat/>
    <w:rsid w:val="00615EA0"/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 w:val="22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 w:val="2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116B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poudarek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elasvetlamrea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elasvetlamrea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elasvetlamrea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elasvetlamrea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6ED1-8050-4A38-A90D-B321908F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Sattler, Doris</cp:lastModifiedBy>
  <cp:revision>2</cp:revision>
  <dcterms:created xsi:type="dcterms:W3CDTF">2022-02-03T12:05:00Z</dcterms:created>
  <dcterms:modified xsi:type="dcterms:W3CDTF">2022-02-03T12:05:00Z</dcterms:modified>
</cp:coreProperties>
</file>